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32127C" w:rsidTr="006D19ED">
        <w:tc>
          <w:tcPr>
            <w:tcW w:w="4785" w:type="dxa"/>
          </w:tcPr>
          <w:p w:rsidR="0032127C" w:rsidRPr="0032127C" w:rsidRDefault="0032127C" w:rsidP="0032127C">
            <w:pPr>
              <w:overflowPunct w:val="0"/>
              <w:topLinePunct/>
              <w:autoSpaceDE/>
              <w:adjustRightInd w:val="0"/>
              <w:snapToGrid w:val="0"/>
              <w:spacing w:line="300" w:lineRule="auto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zh-CN"/>
              </w:rPr>
            </w:pPr>
            <w:r w:rsidRPr="0032127C"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  <w:t>기술이전소득의</w:t>
            </w:r>
            <w:r w:rsidRPr="0032127C">
              <w:rPr>
                <w:rFonts w:ascii="한컴바탕" w:eastAsia="한컴바탕" w:hAnsi="한컴바탕" w:cs="한컴바탕"/>
                <w:b/>
                <w:sz w:val="26"/>
                <w:szCs w:val="26"/>
              </w:rPr>
              <w:t xml:space="preserve"> </w:t>
            </w:r>
          </w:p>
          <w:p w:rsidR="0032127C" w:rsidRPr="0032127C" w:rsidRDefault="0032127C" w:rsidP="0032127C">
            <w:pPr>
              <w:overflowPunct w:val="0"/>
              <w:topLinePunct/>
              <w:autoSpaceDE/>
              <w:adjustRightInd w:val="0"/>
              <w:snapToGrid w:val="0"/>
              <w:spacing w:line="300" w:lineRule="auto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</w:pPr>
            <w:r w:rsidRPr="0032127C">
              <w:rPr>
                <w:rFonts w:ascii="한컴바탕" w:eastAsia="한컴바탕" w:hAnsi="한컴바탕" w:cs="한컴바탕"/>
                <w:b/>
                <w:sz w:val="26"/>
                <w:szCs w:val="26"/>
              </w:rPr>
              <w:t xml:space="preserve">기업소득세 감면 관련 </w:t>
            </w:r>
          </w:p>
          <w:p w:rsidR="0032127C" w:rsidRPr="0032127C" w:rsidRDefault="0032127C" w:rsidP="0032127C">
            <w:pPr>
              <w:overflowPunct w:val="0"/>
              <w:topLinePunct/>
              <w:autoSpaceDE/>
              <w:adjustRightInd w:val="0"/>
              <w:snapToGrid w:val="0"/>
              <w:spacing w:line="300" w:lineRule="auto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zh-CN"/>
              </w:rPr>
            </w:pPr>
            <w:r w:rsidRPr="0032127C">
              <w:rPr>
                <w:rFonts w:ascii="한컴바탕" w:eastAsia="한컴바탕" w:hAnsi="한컴바탕" w:cs="한컴바탕"/>
                <w:b/>
                <w:sz w:val="26"/>
                <w:szCs w:val="26"/>
              </w:rPr>
              <w:t>문제에 대한 공고</w:t>
            </w:r>
          </w:p>
          <w:p w:rsidR="0032127C" w:rsidRPr="0032127C" w:rsidRDefault="0032127C" w:rsidP="0032127C">
            <w:pPr>
              <w:overflowPunct w:val="0"/>
              <w:topLinePunct/>
              <w:autoSpaceDE/>
              <w:adjustRightInd w:val="0"/>
              <w:snapToGrid w:val="0"/>
              <w:spacing w:line="300" w:lineRule="auto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zh-CN"/>
              </w:rPr>
            </w:pPr>
          </w:p>
          <w:p w:rsidR="0032127C" w:rsidRPr="0032127C" w:rsidRDefault="0032127C" w:rsidP="0032127C">
            <w:pPr>
              <w:overflowPunct w:val="0"/>
              <w:topLinePunct/>
              <w:autoSpaceDE/>
              <w:adjustRightInd w:val="0"/>
              <w:snapToGrid w:val="0"/>
              <w:spacing w:line="300" w:lineRule="auto"/>
              <w:jc w:val="center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  <w:r w:rsidRPr="0032127C">
              <w:rPr>
                <w:rFonts w:ascii="한컴바탕" w:eastAsia="한컴바탕" w:hAnsi="한컴바탕" w:cs="한컴바탕" w:hint="eastAsia"/>
                <w:sz w:val="21"/>
                <w:szCs w:val="21"/>
              </w:rPr>
              <w:t>국가세무총국</w:t>
            </w:r>
            <w:r w:rsidRPr="0032127C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공고 2013년 제62호</w:t>
            </w:r>
          </w:p>
          <w:p w:rsidR="0032127C" w:rsidRPr="0032127C" w:rsidRDefault="0032127C" w:rsidP="0032127C">
            <w:pPr>
              <w:overflowPunct w:val="0"/>
              <w:topLinePunct/>
              <w:autoSpaceDE/>
              <w:adjustRightInd w:val="0"/>
              <w:snapToGrid w:val="0"/>
              <w:spacing w:line="300" w:lineRule="auto"/>
              <w:rPr>
                <w:rFonts w:ascii="한컴바탕" w:eastAsia="한컴바탕" w:hAnsi="한컴바탕" w:cs="한컴바탕" w:hint="eastAsia"/>
                <w:sz w:val="21"/>
                <w:szCs w:val="21"/>
                <w:lang w:eastAsia="zh-CN"/>
              </w:rPr>
            </w:pPr>
          </w:p>
          <w:p w:rsidR="0032127C" w:rsidRPr="0032127C" w:rsidRDefault="0032127C" w:rsidP="0032127C">
            <w:pPr>
              <w:autoSpaceDE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32127C">
              <w:rPr>
                <w:rFonts w:ascii="한컴바탕" w:eastAsia="한컴바탕" w:hAnsi="한컴바탕" w:cs="한컴바탕" w:hint="eastAsia"/>
                <w:sz w:val="21"/>
                <w:szCs w:val="21"/>
              </w:rPr>
              <w:t>기술이전소득의</w:t>
            </w:r>
            <w:r w:rsidRPr="0032127C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기업소득세 감면 징수관리를 </w:t>
            </w:r>
            <w:r w:rsidRPr="0032127C">
              <w:rPr>
                <w:rFonts w:ascii="한컴바탕" w:eastAsia="한컴바탕" w:hAnsi="한컴바탕" w:cs="한컴바탕" w:hint="eastAsia"/>
                <w:sz w:val="21"/>
                <w:szCs w:val="21"/>
              </w:rPr>
              <w:t>강화하기 위해</w:t>
            </w:r>
            <w:r w:rsidRPr="0032127C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《기술양도소득 기업소득세 감면징수 관련 문제에 대한 통지》(국세함[2009]212호) 중 기술이전수입 계산 </w:t>
            </w:r>
            <w:r w:rsidRPr="0032127C">
              <w:rPr>
                <w:rFonts w:ascii="한컴바탕" w:eastAsia="한컴바탕" w:hAnsi="한컴바탕" w:cs="한컴바탕" w:hint="eastAsia"/>
                <w:sz w:val="21"/>
                <w:szCs w:val="21"/>
              </w:rPr>
              <w:t>유관</w:t>
            </w:r>
            <w:r w:rsidRPr="0032127C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문제를</w:t>
            </w:r>
            <w:r w:rsidRPr="0032127C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다음과 같이 공고한다. </w:t>
            </w:r>
          </w:p>
          <w:p w:rsidR="0032127C" w:rsidRPr="006D19ED" w:rsidRDefault="0032127C" w:rsidP="006D19ED">
            <w:pPr>
              <w:autoSpaceDE/>
              <w:adjustRightInd w:val="0"/>
              <w:snapToGrid w:val="0"/>
              <w:spacing w:line="290" w:lineRule="atLeast"/>
              <w:ind w:firstLineChars="200" w:firstLine="404"/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</w:pPr>
            <w:r w:rsidRPr="006D19ED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>1. 기술이전수입에 산입</w:t>
            </w:r>
            <w:r w:rsidRPr="006D19ED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 xml:space="preserve">이 가능한 </w:t>
            </w:r>
            <w:r w:rsidRPr="006D19ED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>기술자문</w:t>
            </w:r>
            <w:r w:rsidRPr="006D19ED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 xml:space="preserve">, </w:t>
            </w:r>
            <w:r w:rsidRPr="006D19ED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>기술서비스</w:t>
            </w:r>
            <w:r w:rsidRPr="006D19ED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 xml:space="preserve">, </w:t>
            </w:r>
            <w:r w:rsidRPr="006D19ED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>기술훈련수입</w:t>
            </w:r>
            <w:r w:rsidRPr="006D19ED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 xml:space="preserve">은 </w:t>
            </w:r>
            <w:r w:rsidRPr="006D19ED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>양도인이 양</w:t>
            </w:r>
            <w:r w:rsidRPr="006D19ED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수</w:t>
            </w:r>
            <w:r w:rsidRPr="006D19ED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>인으로 하여금 이전된 기술을 숙지하여 산업화를 실현하도록 하기 위하여 필요한 기술자문</w:t>
            </w:r>
            <w:r w:rsidRPr="006D19ED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 xml:space="preserve">, </w:t>
            </w:r>
            <w:r w:rsidRPr="006D19ED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>기술서비스</w:t>
            </w:r>
            <w:r w:rsidRPr="006D19ED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 xml:space="preserve">, </w:t>
            </w:r>
            <w:r w:rsidRPr="006D19ED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 xml:space="preserve">기술훈련을 제공하여 발생하는 수입을 </w:t>
            </w:r>
            <w:r w:rsidRPr="006D19ED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가르키며</w:t>
            </w:r>
            <w:r w:rsidRPr="006D19ED"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  <w:t>, 다음의 조건을 동시에 만족해야 한다.</w:t>
            </w:r>
          </w:p>
          <w:p w:rsidR="0032127C" w:rsidRPr="006D19ED" w:rsidRDefault="0032127C" w:rsidP="006D19ED">
            <w:pPr>
              <w:autoSpaceDE/>
              <w:adjustRightInd w:val="0"/>
              <w:snapToGrid w:val="0"/>
              <w:spacing w:line="290" w:lineRule="atLeast"/>
              <w:ind w:firstLineChars="200" w:firstLine="460"/>
              <w:rPr>
                <w:rFonts w:ascii="한컴바탕" w:eastAsia="한컴바탕" w:hAnsi="한컴바탕" w:cs="한컴바탕"/>
                <w:spacing w:val="10"/>
                <w:sz w:val="21"/>
                <w:szCs w:val="21"/>
              </w:rPr>
            </w:pPr>
            <w:r w:rsidRPr="006D19ED">
              <w:rPr>
                <w:rFonts w:ascii="한컴바탕" w:eastAsia="한컴바탕" w:hAnsi="한컴바탕" w:cs="한컴바탕"/>
                <w:spacing w:val="10"/>
                <w:sz w:val="21"/>
                <w:szCs w:val="21"/>
              </w:rPr>
              <w:t xml:space="preserve">(1) 기술이전계약에 약정된 해당 기술 </w:t>
            </w:r>
            <w:r w:rsidRPr="006D19ED">
              <w:rPr>
                <w:rFonts w:ascii="한컴바탕" w:eastAsia="한컴바탕" w:hAnsi="한컴바탕" w:cs="한컴바탕" w:hint="eastAsia"/>
                <w:spacing w:val="10"/>
                <w:sz w:val="21"/>
                <w:szCs w:val="21"/>
              </w:rPr>
              <w:t>이전과</w:t>
            </w:r>
            <w:r w:rsidRPr="006D19ED">
              <w:rPr>
                <w:rFonts w:ascii="한컴바탕" w:eastAsia="한컴바탕" w:hAnsi="한컴바탕" w:cs="한컴바탕"/>
                <w:spacing w:val="10"/>
                <w:sz w:val="21"/>
                <w:szCs w:val="21"/>
              </w:rPr>
              <w:t xml:space="preserve"> 관련되는 기술자문</w:t>
            </w:r>
            <w:r w:rsidRPr="006D19ED">
              <w:rPr>
                <w:rFonts w:ascii="한컴바탕" w:eastAsia="한컴바탕" w:hAnsi="한컴바탕" w:cs="한컴바탕" w:hint="eastAsia"/>
                <w:spacing w:val="10"/>
                <w:sz w:val="21"/>
                <w:szCs w:val="21"/>
              </w:rPr>
              <w:t>, 기술서비스</w:t>
            </w:r>
            <w:r w:rsidRPr="006D19ED">
              <w:rPr>
                <w:rFonts w:ascii="한컴바탕" w:eastAsia="한컴바탕" w:hAnsi="한컴바탕" w:cs="한컴바탕"/>
                <w:spacing w:val="10"/>
                <w:sz w:val="21"/>
                <w:szCs w:val="21"/>
              </w:rPr>
              <w:t>,</w:t>
            </w:r>
            <w:r w:rsidRPr="006D19ED">
              <w:rPr>
                <w:rFonts w:ascii="한컴바탕" w:eastAsia="한컴바탕" w:hAnsi="한컴바탕" w:cs="한컴바탕" w:hint="eastAsia"/>
                <w:spacing w:val="10"/>
                <w:sz w:val="21"/>
                <w:szCs w:val="21"/>
              </w:rPr>
              <w:t xml:space="preserve"> </w:t>
            </w:r>
            <w:r w:rsidRPr="006D19ED">
              <w:rPr>
                <w:rFonts w:ascii="한컴바탕" w:eastAsia="한컴바탕" w:hAnsi="한컴바탕" w:cs="한컴바탕"/>
                <w:spacing w:val="10"/>
                <w:sz w:val="21"/>
                <w:szCs w:val="21"/>
              </w:rPr>
              <w:t>기술훈련</w:t>
            </w:r>
          </w:p>
          <w:p w:rsidR="0032127C" w:rsidRPr="0032127C" w:rsidRDefault="0032127C" w:rsidP="0032127C">
            <w:pPr>
              <w:autoSpaceDE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32127C">
              <w:rPr>
                <w:rFonts w:ascii="한컴바탕" w:eastAsia="한컴바탕" w:hAnsi="한컴바탕" w:cs="한컴바탕"/>
                <w:sz w:val="21"/>
                <w:szCs w:val="21"/>
              </w:rPr>
              <w:t>(2) 기술자문,</w:t>
            </w:r>
            <w:r w:rsidRPr="0032127C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기술서비스</w:t>
            </w:r>
            <w:r w:rsidRPr="0032127C">
              <w:rPr>
                <w:rFonts w:ascii="한컴바탕" w:eastAsia="한컴바탕" w:hAnsi="한컴바탕" w:cs="한컴바탕"/>
                <w:sz w:val="21"/>
                <w:szCs w:val="21"/>
              </w:rPr>
              <w:t>,</w:t>
            </w:r>
            <w:r w:rsidRPr="0032127C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기술훈련수입은</w:t>
            </w:r>
            <w:r w:rsidRPr="0032127C">
              <w:rPr>
                <w:rFonts w:ascii="한컴바탕" w:eastAsia="한컴바탕" w:hAnsi="한컴바탕" w:cs="한컴바탕"/>
                <w:sz w:val="21"/>
                <w:szCs w:val="21"/>
              </w:rPr>
              <w:t xml:space="preserve"> 해당 기술이전항목 수입과 더불어 대금을 </w:t>
            </w:r>
            <w:r w:rsidRPr="0032127C">
              <w:rPr>
                <w:rFonts w:ascii="한컴바탕" w:eastAsia="한컴바탕" w:hAnsi="한컴바탕" w:cs="한컴바탕" w:hint="eastAsia"/>
                <w:sz w:val="21"/>
                <w:szCs w:val="21"/>
              </w:rPr>
              <w:t>일괄 수취한다</w:t>
            </w:r>
            <w:r w:rsidRPr="0032127C">
              <w:rPr>
                <w:rFonts w:ascii="한컴바탕" w:eastAsia="한컴바탕" w:hAnsi="한컴바탕" w:cs="한컴바탕"/>
                <w:sz w:val="21"/>
                <w:szCs w:val="21"/>
              </w:rPr>
              <w:t>.</w:t>
            </w:r>
          </w:p>
          <w:p w:rsidR="0032127C" w:rsidRPr="0032127C" w:rsidRDefault="0032127C" w:rsidP="0032127C">
            <w:pPr>
              <w:autoSpaceDE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32127C">
              <w:rPr>
                <w:rFonts w:ascii="한컴바탕" w:eastAsia="한컴바탕" w:hAnsi="한컴바탕" w:cs="한컴바탕"/>
                <w:sz w:val="21"/>
                <w:szCs w:val="21"/>
              </w:rPr>
              <w:t>2. 본 공고는 2013년 11월 1일부터 실시한다. 종전에 기업소득세 처리를 마친 관련 업무는 세무조정을 하지 않는다.</w:t>
            </w:r>
          </w:p>
          <w:p w:rsidR="0032127C" w:rsidRPr="0032127C" w:rsidRDefault="0032127C" w:rsidP="0032127C">
            <w:pPr>
              <w:overflowPunct w:val="0"/>
              <w:topLinePunct/>
              <w:autoSpaceDE/>
              <w:adjustRightInd w:val="0"/>
              <w:snapToGrid w:val="0"/>
              <w:spacing w:line="290" w:lineRule="atLeast"/>
              <w:rPr>
                <w:rFonts w:ascii="한컴바탕" w:eastAsia="한컴바탕" w:hAnsi="한컴바탕" w:cs="한컴바탕"/>
                <w:sz w:val="21"/>
                <w:szCs w:val="21"/>
              </w:rPr>
            </w:pPr>
          </w:p>
          <w:p w:rsidR="0032127C" w:rsidRPr="0032127C" w:rsidRDefault="0032127C" w:rsidP="006D19ED">
            <w:pPr>
              <w:overflowPunct w:val="0"/>
              <w:topLinePunct/>
              <w:autoSpaceDE/>
              <w:adjustRightInd w:val="0"/>
              <w:snapToGrid w:val="0"/>
              <w:jc w:val="right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32127C">
              <w:rPr>
                <w:rFonts w:ascii="한컴바탕" w:eastAsia="한컴바탕" w:hAnsi="한컴바탕" w:cs="한컴바탕" w:hint="eastAsia"/>
                <w:sz w:val="21"/>
                <w:szCs w:val="21"/>
              </w:rPr>
              <w:t>국가세무총국</w:t>
            </w:r>
          </w:p>
          <w:p w:rsidR="0032127C" w:rsidRPr="0032127C" w:rsidRDefault="0032127C" w:rsidP="006D19ED">
            <w:pPr>
              <w:overflowPunct w:val="0"/>
              <w:topLinePunct/>
              <w:autoSpaceDE/>
              <w:adjustRightInd w:val="0"/>
              <w:snapToGrid w:val="0"/>
              <w:jc w:val="right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32127C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2013년 10월 21일 </w:t>
            </w:r>
          </w:p>
          <w:p w:rsidR="0032127C" w:rsidRPr="0032127C" w:rsidRDefault="0032127C" w:rsidP="0032127C">
            <w:pPr>
              <w:rPr>
                <w:rFonts w:ascii="한컴바탕" w:eastAsia="한컴바탕" w:hAnsi="한컴바탕" w:cs="한컴바탕"/>
                <w:sz w:val="21"/>
                <w:szCs w:val="21"/>
              </w:rPr>
            </w:pPr>
          </w:p>
          <w:p w:rsidR="0032127C" w:rsidRPr="0032127C" w:rsidRDefault="0032127C" w:rsidP="0032127C">
            <w:pPr>
              <w:overflowPunct w:val="0"/>
              <w:topLinePunct/>
              <w:autoSpaceDE/>
              <w:adjustRightInd w:val="0"/>
              <w:snapToGrid w:val="0"/>
              <w:spacing w:line="300" w:lineRule="auto"/>
              <w:rPr>
                <w:rFonts w:ascii="한컴바탕" w:eastAsia="한컴바탕" w:hAnsi="한컴바탕" w:cs="한컴바탕"/>
                <w:sz w:val="21"/>
                <w:szCs w:val="21"/>
              </w:rPr>
            </w:pPr>
          </w:p>
          <w:p w:rsidR="0032127C" w:rsidRDefault="0032127C"/>
        </w:tc>
        <w:tc>
          <w:tcPr>
            <w:tcW w:w="539" w:type="dxa"/>
          </w:tcPr>
          <w:p w:rsidR="0032127C" w:rsidRDefault="0032127C"/>
        </w:tc>
        <w:tc>
          <w:tcPr>
            <w:tcW w:w="3958" w:type="dxa"/>
          </w:tcPr>
          <w:p w:rsidR="0032127C" w:rsidRPr="0032127C" w:rsidRDefault="0032127C" w:rsidP="0032127C">
            <w:pPr>
              <w:spacing w:line="300" w:lineRule="auto"/>
              <w:jc w:val="center"/>
              <w:rPr>
                <w:rFonts w:ascii="SimSun" w:eastAsia="SimSun" w:hAnsi="SimSun"/>
                <w:b/>
                <w:sz w:val="26"/>
                <w:szCs w:val="26"/>
                <w:lang w:eastAsia="zh-CN"/>
              </w:rPr>
            </w:pPr>
            <w:r w:rsidRPr="0032127C">
              <w:rPr>
                <w:rFonts w:ascii="SimSun" w:eastAsia="SimSun" w:hAnsi="SimSun" w:hint="eastAsia"/>
                <w:b/>
                <w:sz w:val="26"/>
                <w:szCs w:val="26"/>
                <w:lang w:eastAsia="zh-CN"/>
              </w:rPr>
              <w:t>国家税务总局</w:t>
            </w:r>
          </w:p>
          <w:p w:rsidR="0032127C" w:rsidRPr="0032127C" w:rsidRDefault="0032127C" w:rsidP="0032127C">
            <w:pPr>
              <w:spacing w:line="300" w:lineRule="auto"/>
              <w:jc w:val="center"/>
              <w:rPr>
                <w:rFonts w:ascii="SimSun" w:eastAsia="SimSun" w:hAnsi="SimSun" w:hint="eastAsia"/>
                <w:b/>
                <w:sz w:val="26"/>
                <w:szCs w:val="26"/>
                <w:lang w:eastAsia="zh-CN"/>
              </w:rPr>
            </w:pPr>
            <w:r w:rsidRPr="0032127C">
              <w:rPr>
                <w:rFonts w:ascii="SimSun" w:eastAsia="SimSun" w:hAnsi="SimSun" w:hint="eastAsia"/>
                <w:b/>
                <w:sz w:val="26"/>
                <w:szCs w:val="26"/>
                <w:lang w:eastAsia="zh-CN"/>
              </w:rPr>
              <w:t>关于技术转让所得减免企业所得税有关问题的公告</w:t>
            </w:r>
          </w:p>
          <w:p w:rsidR="0032127C" w:rsidRPr="0032127C" w:rsidRDefault="0032127C" w:rsidP="0032127C">
            <w:pPr>
              <w:spacing w:line="300" w:lineRule="auto"/>
              <w:jc w:val="center"/>
              <w:rPr>
                <w:rFonts w:ascii="SimSun" w:eastAsia="SimSun" w:hAnsi="SimSun"/>
                <w:b/>
                <w:sz w:val="26"/>
                <w:szCs w:val="26"/>
                <w:lang w:eastAsia="zh-CN"/>
              </w:rPr>
            </w:pPr>
          </w:p>
          <w:p w:rsidR="0032127C" w:rsidRPr="0032127C" w:rsidRDefault="0032127C" w:rsidP="0032127C">
            <w:pPr>
              <w:spacing w:line="300" w:lineRule="auto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2127C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国家税务总局公告2013年第62号</w:t>
            </w:r>
          </w:p>
          <w:p w:rsidR="0032127C" w:rsidRPr="0032127C" w:rsidRDefault="0032127C" w:rsidP="0032127C">
            <w:pPr>
              <w:spacing w:line="300" w:lineRule="auto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  <w:p w:rsidR="0032127C" w:rsidRPr="006D19ED" w:rsidRDefault="0032127C" w:rsidP="0032127C">
            <w:pPr>
              <w:spacing w:line="290" w:lineRule="atLeast"/>
              <w:rPr>
                <w:rFonts w:ascii="SimSun" w:eastAsia="SimSun" w:hAnsi="SimSun"/>
                <w:spacing w:val="-8"/>
                <w:sz w:val="21"/>
                <w:szCs w:val="21"/>
                <w:lang w:eastAsia="zh-CN"/>
              </w:rPr>
            </w:pPr>
            <w:r w:rsidRPr="0032127C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6D19ED">
              <w:rPr>
                <w:rFonts w:ascii="SimSun" w:eastAsia="SimSun" w:hAnsi="SimSun" w:hint="eastAsia"/>
                <w:spacing w:val="-8"/>
                <w:sz w:val="21"/>
                <w:szCs w:val="21"/>
                <w:lang w:eastAsia="zh-CN"/>
              </w:rPr>
              <w:t>为加强技术转让所得减免企业所得税的征收管理，现将《国家税务总局关于技术转让所得减免企业所得税有关问题的通知》（国税函〔2009〕212号）中技术转让收入计算的有关问题，公告如下：</w:t>
            </w:r>
          </w:p>
          <w:p w:rsidR="0032127C" w:rsidRPr="0032127C" w:rsidRDefault="0032127C" w:rsidP="0032127C">
            <w:pPr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2127C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一、可以计入技术转让收入的技术咨询、技术服务、技术培训收入，是指转让方为使受让方掌握所转让的技术投入使用、实现产业化而提供的必要的技术咨询、技术服务、技术培训所产生的收入，并应同时符合以下条件：</w:t>
            </w:r>
          </w:p>
          <w:p w:rsidR="0032127C" w:rsidRPr="0032127C" w:rsidRDefault="0032127C" w:rsidP="0032127C">
            <w:pPr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2127C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（一）在技术转让合同中约定的与该技术转让相关的技术咨询、技术服务、技术培训；</w:t>
            </w:r>
          </w:p>
          <w:p w:rsidR="0032127C" w:rsidRPr="0032127C" w:rsidRDefault="0032127C" w:rsidP="0032127C">
            <w:pPr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2127C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（二）技术咨询、技术服务、技术培训收入与该技术转让项目收入一并收取价款。</w:t>
            </w:r>
          </w:p>
          <w:p w:rsidR="0032127C" w:rsidRPr="0032127C" w:rsidRDefault="0032127C" w:rsidP="0032127C">
            <w:pPr>
              <w:spacing w:line="290" w:lineRule="atLeast"/>
              <w:rPr>
                <w:rFonts w:ascii="SimSun" w:eastAsia="SimSun" w:hAnsi="SimSun"/>
                <w:sz w:val="21"/>
                <w:szCs w:val="21"/>
              </w:rPr>
            </w:pPr>
            <w:r w:rsidRPr="0032127C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二、本公告自2013年11月1日起施行。此前已进行企业所得税处理的相关业务，不作纳税调整。</w:t>
            </w:r>
            <w:r w:rsidRPr="0032127C">
              <w:rPr>
                <w:rFonts w:ascii="SimSun" w:eastAsia="SimSun" w:hAnsi="SimSun" w:hint="eastAsia"/>
                <w:sz w:val="21"/>
                <w:szCs w:val="21"/>
              </w:rPr>
              <w:t></w:t>
            </w:r>
          </w:p>
          <w:p w:rsidR="0032127C" w:rsidRPr="0032127C" w:rsidRDefault="0032127C" w:rsidP="0032127C">
            <w:pPr>
              <w:rPr>
                <w:rFonts w:ascii="SimSun" w:eastAsia="SimSun" w:hAnsi="SimSun"/>
                <w:sz w:val="21"/>
                <w:szCs w:val="21"/>
              </w:rPr>
            </w:pPr>
          </w:p>
          <w:p w:rsidR="0032127C" w:rsidRPr="0032127C" w:rsidRDefault="0032127C" w:rsidP="0032127C">
            <w:pPr>
              <w:jc w:val="right"/>
              <w:rPr>
                <w:rFonts w:ascii="SimSun" w:eastAsia="SimSun" w:hAnsi="SimSun"/>
                <w:sz w:val="21"/>
                <w:szCs w:val="21"/>
              </w:rPr>
            </w:pPr>
            <w:r w:rsidRPr="0032127C">
              <w:rPr>
                <w:rFonts w:ascii="SimSun" w:eastAsia="SimSun" w:hAnsi="SimSun" w:hint="eastAsia"/>
                <w:sz w:val="21"/>
                <w:szCs w:val="21"/>
              </w:rPr>
              <w:t>国家税务总局</w:t>
            </w:r>
          </w:p>
          <w:p w:rsidR="0032127C" w:rsidRPr="0032127C" w:rsidRDefault="0032127C" w:rsidP="0032127C">
            <w:pPr>
              <w:jc w:val="right"/>
              <w:rPr>
                <w:rFonts w:ascii="SimSun" w:eastAsia="SimSun" w:hAnsi="SimSun"/>
                <w:sz w:val="21"/>
                <w:szCs w:val="21"/>
              </w:rPr>
            </w:pPr>
            <w:r w:rsidRPr="0032127C">
              <w:rPr>
                <w:rFonts w:ascii="SimSun" w:eastAsia="SimSun" w:hAnsi="SimSun" w:hint="eastAsia"/>
                <w:sz w:val="21"/>
                <w:szCs w:val="21"/>
              </w:rPr>
              <w:t>2013年10月21日</w:t>
            </w:r>
          </w:p>
          <w:p w:rsidR="0032127C" w:rsidRDefault="0032127C"/>
        </w:tc>
      </w:tr>
    </w:tbl>
    <w:p w:rsidR="00603F51" w:rsidRDefault="00603F51"/>
    <w:sectPr w:rsidR="00603F51" w:rsidSect="0032127C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F51" w:rsidRDefault="00603F51" w:rsidP="0032127C">
      <w:r>
        <w:separator/>
      </w:r>
    </w:p>
  </w:endnote>
  <w:endnote w:type="continuationSeparator" w:id="1">
    <w:p w:rsidR="00603F51" w:rsidRDefault="00603F51" w:rsidP="00321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F51" w:rsidRDefault="00603F51" w:rsidP="0032127C">
      <w:r>
        <w:separator/>
      </w:r>
    </w:p>
  </w:footnote>
  <w:footnote w:type="continuationSeparator" w:id="1">
    <w:p w:rsidR="00603F51" w:rsidRDefault="00603F51" w:rsidP="00321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27C"/>
    <w:rsid w:val="0032127C"/>
    <w:rsid w:val="00603F51"/>
    <w:rsid w:val="006D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12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2127C"/>
  </w:style>
  <w:style w:type="paragraph" w:styleId="a4">
    <w:name w:val="footer"/>
    <w:basedOn w:val="a"/>
    <w:link w:val="Char0"/>
    <w:uiPriority w:val="99"/>
    <w:semiHidden/>
    <w:unhideWhenUsed/>
    <w:rsid w:val="003212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2127C"/>
  </w:style>
  <w:style w:type="table" w:styleId="a5">
    <w:name w:val="Table Grid"/>
    <w:basedOn w:val="a1"/>
    <w:uiPriority w:val="59"/>
    <w:rsid w:val="003212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C2A43-0388-41D4-97CA-E90BC1B1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2013-11-19T01:17:00Z</dcterms:created>
  <dcterms:modified xsi:type="dcterms:W3CDTF">2013-11-19T01:35:00Z</dcterms:modified>
</cp:coreProperties>
</file>